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9861"/>
      </w:tblGrid>
      <w:tr w:rsidR="005916DC" w:rsidRPr="005916DC" w:rsidTr="005916DC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EFF"/>
            <w:hideMark/>
          </w:tcPr>
          <w:p w:rsidR="005916DC" w:rsidRPr="005916DC" w:rsidRDefault="005916DC" w:rsidP="005916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16D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5916DC" w:rsidRPr="005916DC" w:rsidTr="005916DC">
        <w:trPr>
          <w:trHeight w:val="10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96C81"/>
            <w:vAlign w:val="center"/>
            <w:hideMark/>
          </w:tcPr>
          <w:p w:rsidR="005916DC" w:rsidRPr="005916DC" w:rsidRDefault="005916DC" w:rsidP="005916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16DC">
              <w:rPr>
                <w:rFonts w:ascii="新細明體" w:eastAsia="新細明體" w:hAnsi="新細明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045845" cy="782955"/>
                  <wp:effectExtent l="0" t="0" r="1905" b="0"/>
                  <wp:docPr id="2" name="圖片 2" descr="http://61.66.117.10/HTML/dept/1t24/intranet/serum/luc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61.66.117.10/HTML/dept/1t24/intranet/serum/luc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8AFF"/>
            <w:vAlign w:val="center"/>
            <w:hideMark/>
          </w:tcPr>
          <w:p w:rsidR="005916DC" w:rsidRPr="005916DC" w:rsidRDefault="005916DC" w:rsidP="005916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16DC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4495800" cy="741045"/>
                  <wp:effectExtent l="0" t="0" r="0" b="1905"/>
                  <wp:docPr id="1" name="圖片 1" descr="http://61.66.117.10/HTML/dept/1t24/intranet/chemistry/title-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61.66.117.10/HTML/dept/1t24/intranet/chemistry/title-t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6DC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更新日期：2020/02/08</w:t>
            </w:r>
          </w:p>
        </w:tc>
      </w:tr>
      <w:tr w:rsidR="005916DC" w:rsidRPr="005916DC" w:rsidTr="005916DC">
        <w:trPr>
          <w:trHeight w:val="93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4446C"/>
            <w:vAlign w:val="center"/>
            <w:hideMark/>
          </w:tcPr>
          <w:p w:rsidR="005916DC" w:rsidRPr="005916DC" w:rsidRDefault="005916DC" w:rsidP="005916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16D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pPr w:leftFromText="96" w:rightFromText="36" w:vertAnchor="text" w:tblpXSpec="right" w:tblpYSpec="center"/>
              <w:tblW w:w="976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7389"/>
            </w:tblGrid>
            <w:tr w:rsidR="005916DC" w:rsidRPr="005916DC">
              <w:trPr>
                <w:trHeight w:val="204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檢驗項目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spacing w:line="200" w:lineRule="atLeast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非侵入性胎兒染色體篩檢；</w:t>
                  </w:r>
                  <w:r w:rsidRPr="005916D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NIPS</w:t>
                  </w:r>
                </w:p>
              </w:tc>
            </w:tr>
            <w:tr w:rsidR="005916DC" w:rsidRPr="005916DC">
              <w:trPr>
                <w:trHeight w:val="200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檢驗表單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精</w:t>
                  </w: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準</w:t>
                  </w:r>
                  <w:proofErr w:type="gramEnd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醫學暨分子醫學特殊檢驗單（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CM-T2A0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5916DC" w:rsidRPr="005916DC">
              <w:trPr>
                <w:trHeight w:val="204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spacing w:line="228" w:lineRule="atLeast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參考範圍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spacing w:line="228" w:lineRule="atLeast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非侵入性胎兒染色體篩檢各染色體之Z score參考區間如下:</w:t>
                  </w:r>
                </w:p>
                <w:p w:rsidR="005916DC" w:rsidRPr="005916DC" w:rsidRDefault="005916DC" w:rsidP="005916DC">
                  <w:pPr>
                    <w:widowControl/>
                    <w:spacing w:line="228" w:lineRule="atLeast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染色體1~22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404040"/>
                      <w:kern w:val="0"/>
                      <w:sz w:val="20"/>
                      <w:szCs w:val="20"/>
                    </w:rPr>
                    <w:t>、</w:t>
                  </w: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性染色體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404040"/>
                      <w:kern w:val="0"/>
                      <w:sz w:val="20"/>
                      <w:szCs w:val="20"/>
                    </w:rPr>
                    <w:t>:</w:t>
                  </w:r>
                  <w:r w:rsidRPr="005916DC">
                    <w:rPr>
                      <w:rFonts w:ascii="微軟正黑體" w:eastAsia="微軟正黑體" w:hAnsi="微軟正黑體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-3&lt;Z score&lt;3</w:t>
                  </w:r>
                </w:p>
              </w:tc>
            </w:tr>
            <w:tr w:rsidR="005916DC" w:rsidRPr="005916DC">
              <w:trPr>
                <w:trHeight w:val="17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1.</w:t>
                  </w: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採</w:t>
                  </w:r>
                  <w:proofErr w:type="gramEnd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檢容器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圖片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 xml:space="preserve">)  </w:t>
                  </w:r>
                </w:p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2.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檢體量</w:t>
                  </w:r>
                </w:p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檢體類別</w:t>
                  </w:r>
                </w:p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4.</w:t>
                  </w: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採</w:t>
                  </w:r>
                  <w:proofErr w:type="gramEnd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檢須知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ind w:firstLine="48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noProof/>
                      <w:kern w:val="0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114300</wp:posOffset>
                        </wp:positionH>
                        <wp:positionV relativeFrom="paragraph">
                          <wp:posOffset>295275</wp:posOffset>
                        </wp:positionV>
                        <wp:extent cx="561975" cy="1400175"/>
                        <wp:effectExtent l="0" t="0" r="9525" b="9525"/>
                        <wp:wrapNone/>
                        <wp:docPr id="3" name="圖片 3" descr="roche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oche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605" r="395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916DC" w:rsidRPr="005916DC" w:rsidRDefault="005916DC" w:rsidP="005916DC">
                  <w:pPr>
                    <w:widowControl/>
                    <w:ind w:firstLine="80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　</w:t>
                  </w:r>
                </w:p>
                <w:p w:rsidR="005916DC" w:rsidRPr="005916DC" w:rsidRDefault="005916DC" w:rsidP="005916DC">
                  <w:pPr>
                    <w:widowControl/>
                    <w:ind w:firstLine="80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　</w:t>
                  </w:r>
                </w:p>
                <w:p w:rsidR="005916DC" w:rsidRPr="005916DC" w:rsidRDefault="005916DC" w:rsidP="005916DC">
                  <w:pPr>
                    <w:widowControl/>
                    <w:ind w:firstLine="80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　</w:t>
                  </w:r>
                </w:p>
                <w:p w:rsidR="005916DC" w:rsidRPr="005916DC" w:rsidRDefault="005916DC" w:rsidP="005916DC">
                  <w:pPr>
                    <w:widowControl/>
                    <w:ind w:firstLine="80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　</w:t>
                  </w:r>
                  <w:bookmarkStart w:id="0" w:name="_GoBack"/>
                  <w:bookmarkEnd w:id="0"/>
                </w:p>
                <w:p w:rsidR="005916DC" w:rsidRPr="005916DC" w:rsidRDefault="005916DC" w:rsidP="005916DC">
                  <w:pPr>
                    <w:widowControl/>
                    <w:ind w:firstLine="80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  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 xml:space="preserve">                                        </w:t>
                  </w:r>
                  <w:hyperlink r:id="rId7" w:history="1">
                    <w:r w:rsidRPr="005916DC">
                      <w:rPr>
                        <w:rFonts w:ascii="Times New Roman" w:eastAsia="新細明體" w:hAnsi="Times New Roman" w:cs="Times New Roman"/>
                        <w:color w:val="0000FF"/>
                        <w:kern w:val="0"/>
                        <w:sz w:val="48"/>
                        <w:szCs w:val="48"/>
                        <w:u w:val="single"/>
                      </w:rPr>
                      <w:t>*</w:t>
                    </w:r>
                    <w:proofErr w:type="gramStart"/>
                    <w:r w:rsidRPr="005916DC">
                      <w:rPr>
                        <w:rFonts w:ascii="標楷體" w:eastAsia="標楷體" w:hAnsi="標楷體" w:cs="Times New Roman" w:hint="eastAsia"/>
                        <w:color w:val="0000FF"/>
                        <w:kern w:val="0"/>
                        <w:sz w:val="28"/>
                        <w:szCs w:val="28"/>
                        <w:u w:val="single"/>
                      </w:rPr>
                      <w:t>採</w:t>
                    </w:r>
                    <w:proofErr w:type="gramEnd"/>
                    <w:r w:rsidRPr="005916DC">
                      <w:rPr>
                        <w:rFonts w:ascii="標楷體" w:eastAsia="標楷體" w:hAnsi="標楷體" w:cs="Times New Roman" w:hint="eastAsia"/>
                        <w:color w:val="0000FF"/>
                        <w:kern w:val="0"/>
                        <w:sz w:val="28"/>
                        <w:szCs w:val="28"/>
                        <w:u w:val="single"/>
                      </w:rPr>
                      <w:t>檢須知</w:t>
                    </w:r>
                  </w:hyperlink>
                </w:p>
                <w:p w:rsidR="005916DC" w:rsidRPr="005916DC" w:rsidRDefault="005916DC" w:rsidP="005916DC">
                  <w:pPr>
                    <w:widowControl/>
                    <w:ind w:firstLine="100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                                      血液</w:t>
                  </w:r>
                  <w:r w:rsidRPr="005916D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 xml:space="preserve"> </w:t>
                  </w: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最低</w:t>
                  </w: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採檢量</w:t>
                  </w:r>
                  <w:proofErr w:type="gramEnd"/>
                  <w:r w:rsidRPr="005916D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10ml</w:t>
                  </w:r>
                </w:p>
                <w:p w:rsidR="005916DC" w:rsidRPr="005916DC" w:rsidRDefault="005916DC" w:rsidP="005916DC">
                  <w:pPr>
                    <w:widowControl/>
                    <w:ind w:firstLine="40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                                                   Roche cell-free DNA collection tube</w:t>
                  </w:r>
                </w:p>
                <w:p w:rsidR="005916DC" w:rsidRPr="005916DC" w:rsidRDefault="005916DC" w:rsidP="005916DC">
                  <w:pPr>
                    <w:widowControl/>
                    <w:ind w:firstLine="40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　</w:t>
                  </w:r>
                </w:p>
                <w:p w:rsidR="005916DC" w:rsidRPr="005916DC" w:rsidRDefault="005916DC" w:rsidP="005916DC">
                  <w:pPr>
                    <w:widowControl/>
                    <w:ind w:firstLine="40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　</w:t>
                  </w:r>
                </w:p>
                <w:p w:rsidR="005916DC" w:rsidRPr="005916DC" w:rsidRDefault="005916DC" w:rsidP="005916DC">
                  <w:pPr>
                    <w:widowControl/>
                    <w:ind w:firstLine="40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5916DC" w:rsidRPr="005916DC">
              <w:trPr>
                <w:trHeight w:val="384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採</w:t>
                  </w:r>
                  <w:proofErr w:type="gramEnd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檢注意事項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病人準備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ind w:left="360" w:hanging="36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1.</w:t>
                  </w:r>
                  <w:r w:rsidRPr="005916DC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 w:val="14"/>
                      <w:szCs w:val="14"/>
                    </w:rPr>
                    <w:t xml:space="preserve">       </w:t>
                  </w: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請使用</w:t>
                  </w:r>
                  <w:r w:rsidRPr="005916D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21G</w:t>
                  </w: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針頭直接</w:t>
                  </w: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採</w:t>
                  </w:r>
                  <w:proofErr w:type="gramEnd"/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血，勿使用針筒</w:t>
                  </w: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採血再</w:t>
                  </w:r>
                  <w:proofErr w:type="gramEnd"/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打入白頭管中。</w:t>
                  </w:r>
                </w:p>
                <w:p w:rsidR="005916DC" w:rsidRPr="005916DC" w:rsidRDefault="005916DC" w:rsidP="005916DC">
                  <w:pPr>
                    <w:widowControl/>
                    <w:ind w:left="360" w:hanging="36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2.</w:t>
                  </w:r>
                  <w:r w:rsidRPr="005916DC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 w:val="14"/>
                      <w:szCs w:val="14"/>
                    </w:rPr>
                    <w:t xml:space="preserve">       </w:t>
                  </w: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採集檢體後輕柔混和白頭管</w:t>
                  </w:r>
                  <w:r w:rsidRPr="005916D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10</w:t>
                  </w: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次。</w:t>
                  </w:r>
                </w:p>
                <w:p w:rsidR="005916DC" w:rsidRPr="005916DC" w:rsidRDefault="005916DC" w:rsidP="005916DC">
                  <w:pPr>
                    <w:widowControl/>
                    <w:ind w:left="360" w:hanging="36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Cs w:val="24"/>
                    </w:rPr>
                    <w:t>3.</w:t>
                  </w:r>
                  <w:r w:rsidRPr="005916DC">
                    <w:rPr>
                      <w:rFonts w:ascii="Times New Roman" w:eastAsia="新細明體" w:hAnsi="Times New Roman" w:cs="Times New Roman"/>
                      <w:b/>
                      <w:bCs/>
                      <w:kern w:val="0"/>
                      <w:sz w:val="14"/>
                      <w:szCs w:val="14"/>
                    </w:rPr>
                    <w:t xml:space="preserve">      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不需空腹</w:t>
                  </w: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。</w:t>
                  </w:r>
                </w:p>
              </w:tc>
            </w:tr>
            <w:tr w:rsidR="005916DC" w:rsidRPr="005916DC">
              <w:trPr>
                <w:trHeight w:val="280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檢體傳送要求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室溫送檢</w:t>
                  </w:r>
                </w:p>
              </w:tc>
            </w:tr>
            <w:tr w:rsidR="005916DC" w:rsidRPr="005916DC">
              <w:trPr>
                <w:trHeight w:val="280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檢體拒收準則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ind w:left="360" w:hanging="36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1.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 xml:space="preserve">       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檢體溶血。</w:t>
                  </w:r>
                </w:p>
                <w:p w:rsidR="005916DC" w:rsidRPr="005916DC" w:rsidRDefault="005916DC" w:rsidP="005916DC">
                  <w:pPr>
                    <w:widowControl/>
                    <w:ind w:left="360" w:hanging="36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2.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 xml:space="preserve">       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懷胎週數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&lt;10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周。</w:t>
                  </w:r>
                </w:p>
                <w:p w:rsidR="005916DC" w:rsidRPr="005916DC" w:rsidRDefault="005916DC" w:rsidP="005916DC">
                  <w:pPr>
                    <w:widowControl/>
                    <w:ind w:left="360" w:hanging="360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 xml:space="preserve">       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孕婦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BMI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指數</w:t>
                  </w:r>
                  <w:r w:rsidRPr="005916DC">
                    <w:rPr>
                      <w:rFonts w:ascii="Arial" w:eastAsia="新細明體" w:hAnsi="Arial" w:cs="Arial"/>
                      <w:color w:val="222222"/>
                      <w:kern w:val="0"/>
                      <w:szCs w:val="24"/>
                      <w:shd w:val="clear" w:color="auto" w:fill="FFFFFF"/>
                    </w:rPr>
                    <w:t>≥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40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。</w:t>
                  </w:r>
                </w:p>
              </w:tc>
            </w:tr>
            <w:tr w:rsidR="005916DC" w:rsidRPr="005916DC">
              <w:trPr>
                <w:trHeight w:val="280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檢驗方法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次世代定序技術</w:t>
                  </w:r>
                  <w:r w:rsidRPr="005916DC">
                    <w:rPr>
                      <w:rFonts w:ascii="Times New Roman" w:eastAsia="新細明體" w:hAnsi="Times New Roman" w:cs="Times New Roman"/>
                      <w:kern w:val="0"/>
                      <w:sz w:val="20"/>
                      <w:szCs w:val="20"/>
                    </w:rPr>
                    <w:t>(NGS)</w:t>
                  </w:r>
                </w:p>
              </w:tc>
            </w:tr>
            <w:tr w:rsidR="005916DC" w:rsidRPr="005916DC">
              <w:trPr>
                <w:trHeight w:val="326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可送檢時間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門檢組</w:t>
                  </w:r>
                  <w:proofErr w:type="gramEnd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:星期一～星期五 AM 07:00～PM 22:00 星期六 AM 07:00～PM 16:00</w:t>
                  </w:r>
                </w:p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急檢組</w:t>
                  </w:r>
                  <w:proofErr w:type="gramEnd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:24小時收件</w:t>
                  </w:r>
                </w:p>
              </w:tc>
            </w:tr>
            <w:tr w:rsidR="005916DC" w:rsidRPr="005916DC">
              <w:trPr>
                <w:trHeight w:val="216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報告完成時間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個工作天</w:t>
                  </w:r>
                </w:p>
              </w:tc>
            </w:tr>
            <w:tr w:rsidR="005916DC" w:rsidRPr="005916DC">
              <w:trPr>
                <w:trHeight w:val="216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加補驗</w:t>
                  </w:r>
                  <w:proofErr w:type="gramEnd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原則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條件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不</w:t>
                  </w: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接受加補驗</w:t>
                  </w:r>
                  <w:proofErr w:type="gramEnd"/>
                </w:p>
              </w:tc>
            </w:tr>
            <w:tr w:rsidR="005916DC" w:rsidRPr="005916DC">
              <w:trPr>
                <w:trHeight w:val="216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檢驗組別及聯絡方式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分生組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 xml:space="preserve">   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電話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:04-22052121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分機：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1202-304</w:t>
                  </w:r>
                </w:p>
              </w:tc>
            </w:tr>
            <w:tr w:rsidR="005916DC" w:rsidRPr="005916DC">
              <w:trPr>
                <w:trHeight w:val="216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檢驗效能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1.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依臨床試驗案結果顯示，對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Trisomy21(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唐氏症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), trisomy18(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愛德華氏症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及</w:t>
                  </w:r>
                </w:p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trisomy13(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巴陶氏症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檢測準確度可達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99%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以上。</w:t>
                  </w:r>
                </w:p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2.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性染色體非整</w:t>
                  </w: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倍</w:t>
                  </w:r>
                  <w:proofErr w:type="gramEnd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體風險評估：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XO(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透納氏症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、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XXX(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三倍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X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染色體症候群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、</w:t>
                  </w:r>
                </w:p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XXY(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柯林菲特氏症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、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XYY(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雅各氏症</w:t>
                  </w:r>
                  <w:r w:rsidRPr="005916DC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。</w:t>
                  </w:r>
                </w:p>
              </w:tc>
            </w:tr>
            <w:tr w:rsidR="005916DC" w:rsidRPr="005916DC">
              <w:trPr>
                <w:trHeight w:val="754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檢驗結果的解讀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低度風險：受檢孕婦的胎兒出現</w:t>
                  </w: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三</w:t>
                  </w:r>
                  <w:proofErr w:type="gramEnd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染色體症或非整</w:t>
                  </w: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倍</w:t>
                  </w:r>
                  <w:proofErr w:type="gramEnd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體變異的機率非常低。</w:t>
                  </w:r>
                </w:p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高度風險：受檢孕婦的胎兒出現</w:t>
                  </w: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三</w:t>
                  </w:r>
                  <w:proofErr w:type="gramEnd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染色體症或非整</w:t>
                  </w: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倍</w:t>
                  </w:r>
                  <w:proofErr w:type="gramEnd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體變異的風險偏高後續應進</w:t>
                  </w:r>
                </w:p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行諸如羊膜穿刺等侵入性</w:t>
                  </w: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檢查來確診</w:t>
                  </w:r>
                  <w:proofErr w:type="gramEnd"/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胎兒狀況。</w:t>
                  </w:r>
                </w:p>
              </w:tc>
            </w:tr>
            <w:tr w:rsidR="005916DC" w:rsidRPr="005916DC">
              <w:trPr>
                <w:trHeight w:val="204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健保代碼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spacing w:line="204" w:lineRule="atLeast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NA</w:t>
                  </w:r>
                </w:p>
              </w:tc>
            </w:tr>
            <w:tr w:rsidR="005916DC" w:rsidRPr="005916DC">
              <w:trPr>
                <w:trHeight w:val="204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幾付點數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spacing w:line="204" w:lineRule="atLeast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NA</w:t>
                  </w:r>
                </w:p>
              </w:tc>
            </w:tr>
            <w:tr w:rsidR="005916DC" w:rsidRPr="005916DC">
              <w:trPr>
                <w:trHeight w:val="204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自費收費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spacing w:line="204" w:lineRule="atLeast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color w:val="000000"/>
                      <w:kern w:val="0"/>
                      <w:sz w:val="20"/>
                      <w:szCs w:val="20"/>
                    </w:rPr>
                    <w:t>1T2E102</w:t>
                  </w: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,自費15000元</w:t>
                  </w:r>
                </w:p>
              </w:tc>
            </w:tr>
            <w:tr w:rsidR="005916DC" w:rsidRPr="005916DC">
              <w:trPr>
                <w:trHeight w:val="216"/>
                <w:tblCellSpacing w:w="15" w:type="dxa"/>
              </w:trPr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委外事項</w:t>
                  </w:r>
                </w:p>
              </w:tc>
              <w:tc>
                <w:tcPr>
                  <w:tcW w:w="7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16DC" w:rsidRPr="005916DC" w:rsidRDefault="005916DC" w:rsidP="005916DC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1.是否接收代檢■</w:t>
                  </w:r>
                  <w:proofErr w:type="gramStart"/>
                  <w:r w:rsidRPr="005916DC">
                    <w:rPr>
                      <w:rFonts w:ascii="新細明體" w:eastAsia="新細明體" w:hAnsi="新細明體" w:cs="Times New Roman" w:hint="eastAsia"/>
                      <w:kern w:val="0"/>
                      <w:sz w:val="20"/>
                      <w:szCs w:val="20"/>
                    </w:rPr>
                    <w:t>是□否</w:t>
                  </w:r>
                  <w:proofErr w:type="gramEnd"/>
                </w:p>
              </w:tc>
            </w:tr>
          </w:tbl>
          <w:p w:rsidR="005916DC" w:rsidRPr="005916DC" w:rsidRDefault="005916DC" w:rsidP="005916D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16D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916DC" w:rsidRPr="005916DC" w:rsidTr="005916DC">
        <w:trPr>
          <w:trHeight w:val="6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96C81"/>
            <w:vAlign w:val="center"/>
            <w:hideMark/>
          </w:tcPr>
          <w:p w:rsidR="005916DC" w:rsidRPr="005916DC" w:rsidRDefault="005916DC" w:rsidP="005916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16DC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96C81"/>
            <w:hideMark/>
          </w:tcPr>
          <w:p w:rsidR="005916DC" w:rsidRPr="005916DC" w:rsidRDefault="005916DC" w:rsidP="005916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916D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5916DC" w:rsidRPr="005916DC" w:rsidTr="005916DC">
        <w:trPr>
          <w:trHeight w:val="36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6DC" w:rsidRPr="005916DC" w:rsidRDefault="005916DC" w:rsidP="005916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6DC" w:rsidRPr="005916DC" w:rsidRDefault="005916DC" w:rsidP="005916D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146DD" w:rsidRPr="005916DC" w:rsidRDefault="006146DD"/>
    <w:sectPr w:rsidR="006146DD" w:rsidRPr="005916DC" w:rsidSect="00A641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DC"/>
    <w:rsid w:val="005916DC"/>
    <w:rsid w:val="006146DD"/>
    <w:rsid w:val="00A6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7CC6B-3A57-49D2-A6CE-0E1E99A5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16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591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cmuh.cmu.edu.tw/HTML/dept/1t24/andow3.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>CMUH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cmuh</cp:lastModifiedBy>
  <cp:revision>2</cp:revision>
  <dcterms:created xsi:type="dcterms:W3CDTF">2021-02-09T21:26:00Z</dcterms:created>
  <dcterms:modified xsi:type="dcterms:W3CDTF">2021-02-09T21:26:00Z</dcterms:modified>
</cp:coreProperties>
</file>