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B" w:rsidRDefault="00EE6B1B" w:rsidP="00EE6B1B">
      <w:pPr>
        <w:spacing w:line="48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bCs/>
          <w:sz w:val="32"/>
          <w:szCs w:val="32"/>
        </w:rPr>
        <w:t>中國醫藥大學暨附設醫院研究倫理委員會</w:t>
      </w:r>
    </w:p>
    <w:p w:rsidR="00EE6B1B" w:rsidRDefault="00EE6B1B" w:rsidP="00EE6B1B">
      <w:pPr>
        <w:spacing w:line="480" w:lineRule="exact"/>
        <w:jc w:val="center"/>
        <w:outlineLvl w:val="1"/>
        <w:rPr>
          <w:rFonts w:ascii="Times New Roman" w:eastAsia="標楷體" w:hAnsi="Times New Roman"/>
          <w:b/>
          <w:bCs/>
          <w:sz w:val="32"/>
          <w:szCs w:val="32"/>
        </w:rPr>
      </w:pPr>
      <w:bookmarkStart w:id="1" w:name="_Toc351563950"/>
      <w:r>
        <w:rPr>
          <w:rFonts w:ascii="Times New Roman" w:eastAsia="標楷體" w:hAnsi="Times New Roman" w:hint="eastAsia"/>
          <w:b/>
          <w:bCs/>
          <w:sz w:val="32"/>
          <w:szCs w:val="32"/>
        </w:rPr>
        <w:t>嚴重不良事件通報原則</w:t>
      </w:r>
      <w:bookmarkEnd w:id="1"/>
    </w:p>
    <w:p w:rsidR="00EE6B1B" w:rsidRDefault="00EE6B1B" w:rsidP="00EE6B1B"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:rsidR="00EE6B1B" w:rsidRPr="00EE6B1B" w:rsidRDefault="00EE6B1B" w:rsidP="00EE6B1B">
      <w:pPr>
        <w:numPr>
          <w:ilvl w:val="0"/>
          <w:numId w:val="1"/>
        </w:numPr>
        <w:tabs>
          <w:tab w:val="left" w:pos="624"/>
        </w:tabs>
        <w:rPr>
          <w:rFonts w:ascii="Times New Roman" w:hAnsi="Times New Roman" w:hint="eastAsia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院內案例通報：經本會核准之臨床試驗，且在本院收案之受試者。</w:t>
      </w:r>
    </w:p>
    <w:p w:rsidR="00EE6B1B" w:rsidRDefault="00EE6B1B" w:rsidP="00EE6B1B">
      <w:pPr>
        <w:tabs>
          <w:tab w:val="left" w:pos="624"/>
        </w:tabs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96"/>
        <w:gridCol w:w="2319"/>
        <w:gridCol w:w="1127"/>
        <w:gridCol w:w="1231"/>
        <w:gridCol w:w="1613"/>
        <w:gridCol w:w="1613"/>
      </w:tblGrid>
      <w:tr w:rsidR="00EE6B1B" w:rsidTr="00127052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預期／非預期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主持人評估藥品與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SAE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之因果關係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應通報者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受通報者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發生情形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通報期限</w:t>
            </w:r>
          </w:p>
        </w:tc>
      </w:tr>
      <w:tr w:rsidR="00EE6B1B" w:rsidTr="00127052">
        <w:trPr>
          <w:trHeight w:val="1120"/>
        </w:trPr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（一）</w:t>
            </w:r>
          </w:p>
          <w:p w:rsidR="00EE6B1B" w:rsidRDefault="00EE6B1B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藥品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確定相關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(certain)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很可能相關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(probable/likely)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(possible)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不太可能相關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(unlikely)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(unrelated)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立即通報並儘快提供詳細書面報告</w:t>
            </w:r>
          </w:p>
        </w:tc>
      </w:tr>
      <w:tr w:rsidR="00EE6B1B" w:rsidTr="00127052">
        <w:trPr>
          <w:trHeight w:val="1099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非預期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確定相關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(certain)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很可能相關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(probable/likely)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(possible)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立即通報並儘快提供詳細書面報告</w:t>
            </w:r>
          </w:p>
        </w:tc>
      </w:tr>
      <w:tr w:rsidR="00EE6B1B" w:rsidTr="00127052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三至六款情形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日內通報並提供詳細書面資料</w:t>
            </w:r>
          </w:p>
        </w:tc>
      </w:tr>
      <w:tr w:rsidR="00EE6B1B" w:rsidTr="00127052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不太可能相關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(unlikely)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不相關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(unrelated)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立即通報並儘快提供詳細書面報告</w:t>
            </w:r>
          </w:p>
        </w:tc>
      </w:tr>
      <w:tr w:rsidR="00EE6B1B" w:rsidTr="00127052">
        <w:trPr>
          <w:trHeight w:val="1052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B" w:rsidRDefault="00EE6B1B">
            <w:pPr>
              <w:ind w:leftChars="5" w:left="1692" w:hangingChars="700" w:hanging="16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：一、死亡。二、危及生命。三、永久性身心障礙。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四、受試者之胎兒或新生兒先天性畸形。五、需住院或延長住院之併發症。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六、其他可能導致永久性傷害之併發症。</w:t>
            </w:r>
          </w:p>
        </w:tc>
      </w:tr>
    </w:tbl>
    <w:p w:rsidR="00EE6B1B" w:rsidRDefault="00EE6B1B" w:rsidP="00EE6B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96"/>
        <w:gridCol w:w="2319"/>
        <w:gridCol w:w="1127"/>
        <w:gridCol w:w="1231"/>
        <w:gridCol w:w="1613"/>
        <w:gridCol w:w="1613"/>
      </w:tblGrid>
      <w:tr w:rsidR="00EE6B1B" w:rsidTr="00127052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預期／非預期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ind w:leftChars="-20" w:left="-48" w:rightChars="-34" w:right="-8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臨床醫師評估醫療器材與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SAE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之因果關係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應通報者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受通報者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通報期限</w:t>
            </w:r>
          </w:p>
        </w:tc>
      </w:tr>
      <w:tr w:rsidR="00EE6B1B" w:rsidTr="00127052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（二）</w:t>
            </w:r>
          </w:p>
          <w:p w:rsidR="00EE6B1B" w:rsidRDefault="00EE6B1B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新醫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  <w:shd w:val="pct15" w:color="auto" w:fill="auto"/>
              </w:rPr>
              <w:t>療器材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5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相關或不相關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</w:t>
            </w:r>
          </w:p>
        </w:tc>
      </w:tr>
      <w:tr w:rsidR="00EE6B1B" w:rsidTr="00127052">
        <w:trPr>
          <w:trHeight w:val="73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三至六款情形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日內通報並提供詳細資料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非預期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相關或不相關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立即通報</w:t>
            </w:r>
          </w:p>
        </w:tc>
      </w:tr>
      <w:tr w:rsidR="00EE6B1B" w:rsidTr="00127052">
        <w:trPr>
          <w:trHeight w:val="73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日內提供詳細書面資料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試驗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委託者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108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三至六款情形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並提供詳細資料</w:t>
            </w:r>
          </w:p>
        </w:tc>
      </w:tr>
      <w:tr w:rsidR="00EE6B1B" w:rsidTr="00127052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B" w:rsidRDefault="00EE6B1B">
            <w:pPr>
              <w:ind w:leftChars="5" w:left="1692" w:hangingChars="700" w:hanging="16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：一、死亡。二、危及生命。三、永久性身心障礙。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四、受試者之胎兒或新生兒先天性畸形。五、需住院或延長住院之併發症。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六、其他可能導致永久性傷害之併發症。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備註：預期性之住院不在此限，如：需住院使用該醫療器材。</w:t>
            </w:r>
          </w:p>
        </w:tc>
      </w:tr>
    </w:tbl>
    <w:p w:rsidR="00EE6B1B" w:rsidRDefault="00EE6B1B" w:rsidP="00EE6B1B">
      <w:p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894"/>
        <w:gridCol w:w="2317"/>
        <w:gridCol w:w="1125"/>
        <w:gridCol w:w="1229"/>
        <w:gridCol w:w="1611"/>
        <w:gridCol w:w="1611"/>
      </w:tblGrid>
      <w:tr w:rsidR="00EE6B1B" w:rsidTr="00127052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預期／非預期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臨床醫師評估醫療技術與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SAE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之因果關係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應通報者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受通報者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通報期限</w:t>
            </w:r>
          </w:p>
        </w:tc>
      </w:tr>
      <w:tr w:rsidR="00EE6B1B" w:rsidTr="00127052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ind w:leftChars="-40" w:left="-96" w:rightChars="-44" w:right="-106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（三）</w:t>
            </w:r>
          </w:p>
          <w:p w:rsidR="00EE6B1B" w:rsidRDefault="00EE6B1B">
            <w:pPr>
              <w:ind w:leftChars="-40" w:left="-96" w:rightChars="-44" w:right="-106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新醫療技術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預期或非預期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相關或不相關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B" w:rsidRDefault="00EE6B1B">
            <w:pPr>
              <w:ind w:leftChars="5" w:left="1692" w:hangingChars="700" w:hanging="16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：一、死亡。二、危及生命。三、永久性身心障礙。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四、受試者之胎兒或新生兒先天性畸形。五、需住院或延長住院之併發症。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六、其他可能導致永久性傷害之併發症。</w:t>
            </w:r>
          </w:p>
        </w:tc>
      </w:tr>
    </w:tbl>
    <w:p w:rsidR="00EE6B1B" w:rsidRDefault="00EE6B1B" w:rsidP="00EE6B1B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96"/>
        <w:gridCol w:w="2319"/>
        <w:gridCol w:w="1127"/>
        <w:gridCol w:w="1231"/>
        <w:gridCol w:w="1613"/>
        <w:gridCol w:w="1613"/>
      </w:tblGrid>
      <w:tr w:rsidR="00EE6B1B" w:rsidTr="00127052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預期／非預期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臨床醫師評估中草藥與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SAE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之因果關係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應通報者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受通報者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通報期限</w:t>
            </w:r>
          </w:p>
        </w:tc>
      </w:tr>
      <w:tr w:rsidR="00EE6B1B" w:rsidTr="00127052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ind w:leftChars="-45" w:left="-108" w:rightChars="-44" w:right="-106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（四）</w:t>
            </w:r>
          </w:p>
          <w:p w:rsidR="00EE6B1B" w:rsidRDefault="00EE6B1B">
            <w:pPr>
              <w:ind w:leftChars="-45" w:left="-108" w:rightChars="-44" w:right="-106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中草藥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預期或非預期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相關或不相關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立即通報</w:t>
            </w:r>
          </w:p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3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行政院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衛生福利部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日內通報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日內提供詳細資料</w:t>
            </w:r>
          </w:p>
        </w:tc>
      </w:tr>
      <w:tr w:rsidR="00EE6B1B" w:rsidTr="00127052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B" w:rsidRDefault="00EE6B1B">
            <w:pPr>
              <w:ind w:leftChars="5" w:left="1692" w:hangingChars="700" w:hanging="16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：一、死亡。二、危及生命。三、永久性身心障礙。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四、受試者之胎兒或新生兒先天性畸形。五、需住院或延長住院之併發症。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六、其他可能導致永久性傷害之併發症。</w:t>
            </w:r>
          </w:p>
        </w:tc>
      </w:tr>
    </w:tbl>
    <w:p w:rsidR="00EE6B1B" w:rsidRDefault="00EE6B1B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 w:hint="eastAsia"/>
          <w:szCs w:val="24"/>
        </w:rPr>
      </w:pPr>
    </w:p>
    <w:p w:rsidR="00127052" w:rsidRDefault="00127052" w:rsidP="00127052">
      <w:pPr>
        <w:tabs>
          <w:tab w:val="left" w:pos="624"/>
        </w:tabs>
        <w:rPr>
          <w:rFonts w:ascii="Times New Roman" w:hAnsi="Times New Roman"/>
          <w:szCs w:val="24"/>
        </w:rPr>
      </w:pPr>
    </w:p>
    <w:p w:rsidR="00EE6B1B" w:rsidRDefault="00EE6B1B" w:rsidP="00EE6B1B">
      <w:pPr>
        <w:numPr>
          <w:ilvl w:val="0"/>
          <w:numId w:val="1"/>
        </w:numPr>
        <w:tabs>
          <w:tab w:val="left" w:pos="624"/>
        </w:tabs>
        <w:ind w:left="624" w:hanging="624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院外案例通報：經本會核准之臨床試驗，在其他中心收案之受試者（含國外案例）。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915"/>
        <w:gridCol w:w="2338"/>
        <w:gridCol w:w="1146"/>
        <w:gridCol w:w="1250"/>
        <w:gridCol w:w="1631"/>
        <w:gridCol w:w="1631"/>
      </w:tblGrid>
      <w:tr w:rsidR="00EE6B1B" w:rsidTr="00127052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預期／非預期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臨床醫師評估與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SAE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之因果關係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應通報者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受通報者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發生情形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通報期限</w:t>
            </w:r>
          </w:p>
        </w:tc>
      </w:tr>
      <w:tr w:rsidR="00EE6B1B" w:rsidTr="00127052">
        <w:trPr>
          <w:trHeight w:val="1260"/>
        </w:trPr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藥品／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醫療器材／</w:t>
            </w:r>
          </w:p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醫療技術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非預期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確定相關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(certain)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很可能相關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(probable/likely)</w:t>
            </w:r>
          </w:p>
          <w:p w:rsidR="00EE6B1B" w:rsidRDefault="00EE6B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可能相關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(possible)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主持人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REC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僅死亡或危及生命之情形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儘速通報並提供詳細資料</w:t>
            </w:r>
          </w:p>
        </w:tc>
      </w:tr>
      <w:tr w:rsidR="00EE6B1B" w:rsidTr="00127052">
        <w:trPr>
          <w:trHeight w:val="1260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1B" w:rsidRDefault="00EE6B1B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三至六款情形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E6B1B" w:rsidRDefault="00EE6B1B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定期安全性報告</w:t>
            </w:r>
          </w:p>
        </w:tc>
      </w:tr>
      <w:tr w:rsidR="00EE6B1B" w:rsidTr="00127052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1B" w:rsidRDefault="00EE6B1B">
            <w:pPr>
              <w:ind w:leftChars="5" w:left="1692" w:hangingChars="700" w:hanging="16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包含六款情形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：一、死亡。二、危及生命。三、永久性身心障礙。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四、受試者之胎兒或新生兒先天性畸形。五、需住院或延長住院之併發症。</w:t>
            </w:r>
          </w:p>
          <w:p w:rsidR="00EE6B1B" w:rsidRDefault="00EE6B1B">
            <w:pPr>
              <w:ind w:leftChars="767" w:left="1853" w:hangingChars="5" w:hanging="12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六、其他可能導致永久性傷害之併發症。</w:t>
            </w:r>
          </w:p>
        </w:tc>
      </w:tr>
    </w:tbl>
    <w:p w:rsidR="00EE6B1B" w:rsidRDefault="00EE6B1B" w:rsidP="00EE6B1B">
      <w:pPr>
        <w:numPr>
          <w:ilvl w:val="0"/>
          <w:numId w:val="1"/>
        </w:numPr>
        <w:tabs>
          <w:tab w:val="left" w:pos="624"/>
        </w:tabs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依據法規：</w:t>
      </w:r>
    </w:p>
    <w:p w:rsidR="00EE6B1B" w:rsidRDefault="00EE6B1B" w:rsidP="00EE6B1B">
      <w:pPr>
        <w:ind w:leftChars="195" w:left="468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  <w:vertAlign w:val="superscript"/>
        </w:rPr>
        <w:t>1</w:t>
      </w:r>
      <w:r>
        <w:rPr>
          <w:rFonts w:ascii="Times New Roman" w:eastAsia="標楷體" w:hAnsi="Times New Roman" w:hint="eastAsia"/>
          <w:kern w:val="0"/>
          <w:szCs w:val="24"/>
        </w:rPr>
        <w:t>「藥品優良臨床試驗準則」第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 w:hint="eastAsia"/>
          <w:kern w:val="0"/>
          <w:szCs w:val="24"/>
        </w:rPr>
        <w:t>條</w:t>
      </w:r>
    </w:p>
    <w:p w:rsidR="00EE6B1B" w:rsidRDefault="00EE6B1B" w:rsidP="00EE6B1B">
      <w:pPr>
        <w:ind w:leftChars="330" w:left="1524" w:hangingChars="305" w:hanging="73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十三、藥品不良反應：使用藥品後所發生之有害且未預期之反應。此項反應與試驗藥品間，應具有合理之因果關係。</w:t>
      </w:r>
    </w:p>
    <w:p w:rsidR="00EE6B1B" w:rsidRDefault="00EE6B1B" w:rsidP="00EE6B1B">
      <w:pPr>
        <w:ind w:leftChars="330" w:left="1524" w:hangingChars="305" w:hanging="73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十四、不良事件：受試者參加試驗後所發生之任何不良情況。此項不良情況與試驗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藥品間不以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具有因果關係為必要。</w:t>
      </w:r>
    </w:p>
    <w:p w:rsidR="00EE6B1B" w:rsidRDefault="00EE6B1B" w:rsidP="00EE6B1B">
      <w:pPr>
        <w:ind w:leftChars="195" w:left="468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  <w:vertAlign w:val="superscript"/>
        </w:rPr>
        <w:t>2</w:t>
      </w:r>
      <w:r>
        <w:rPr>
          <w:rFonts w:ascii="Times New Roman" w:eastAsia="標楷體" w:hAnsi="Times New Roman" w:hint="eastAsia"/>
          <w:kern w:val="0"/>
          <w:szCs w:val="24"/>
        </w:rPr>
        <w:t>「藥品優良臨床試驗準則」第</w:t>
      </w:r>
      <w:r>
        <w:rPr>
          <w:rFonts w:ascii="Times New Roman" w:eastAsia="標楷體" w:hAnsi="Times New Roman"/>
          <w:kern w:val="0"/>
          <w:szCs w:val="24"/>
        </w:rPr>
        <w:t>106</w:t>
      </w:r>
      <w:r>
        <w:rPr>
          <w:rFonts w:ascii="Times New Roman" w:eastAsia="標楷體" w:hAnsi="Times New Roman" w:hint="eastAsia"/>
          <w:kern w:val="0"/>
          <w:szCs w:val="24"/>
        </w:rPr>
        <w:t>條。</w:t>
      </w:r>
    </w:p>
    <w:p w:rsidR="00EE6B1B" w:rsidRDefault="00EE6B1B" w:rsidP="00EE6B1B">
      <w:pPr>
        <w:ind w:leftChars="195" w:left="792" w:hangingChars="135" w:hanging="32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  <w:vertAlign w:val="superscript"/>
        </w:rPr>
        <w:t>3</w:t>
      </w:r>
      <w:r>
        <w:rPr>
          <w:rFonts w:ascii="Times New Roman" w:eastAsia="標楷體" w:hAnsi="Times New Roman" w:hint="eastAsia"/>
          <w:kern w:val="0"/>
          <w:szCs w:val="24"/>
        </w:rPr>
        <w:t>「人體試驗管理辦法」第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 w:hint="eastAsia"/>
          <w:kern w:val="0"/>
          <w:szCs w:val="24"/>
        </w:rPr>
        <w:t>條。</w:t>
      </w:r>
    </w:p>
    <w:p w:rsidR="00EE6B1B" w:rsidRDefault="00EE6B1B" w:rsidP="00EE6B1B">
      <w:pPr>
        <w:ind w:leftChars="195" w:left="468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  <w:vertAlign w:val="superscript"/>
        </w:rPr>
        <w:t>4</w:t>
      </w:r>
      <w:r>
        <w:rPr>
          <w:rFonts w:ascii="Times New Roman" w:eastAsia="標楷體" w:hAnsi="Times New Roman" w:hint="eastAsia"/>
          <w:kern w:val="0"/>
          <w:szCs w:val="24"/>
        </w:rPr>
        <w:t>「醫療器材優良臨床試驗基準」第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 w:hint="eastAsia"/>
          <w:kern w:val="0"/>
          <w:szCs w:val="24"/>
        </w:rPr>
        <w:t>條</w:t>
      </w:r>
    </w:p>
    <w:p w:rsidR="00EE6B1B" w:rsidRDefault="00EE6B1B" w:rsidP="00EE6B1B">
      <w:pPr>
        <w:ind w:leftChars="330" w:left="1524" w:hangingChars="305" w:hanging="73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十二、醫療器材不良反應：指任何不良且不可預期之醫療器材反應。包括醫療器材使用說明或配置不足或不當所引起之所有不良反應。也包括使用者犯錯引起之所有不良反應。</w:t>
      </w:r>
    </w:p>
    <w:p w:rsidR="00EE6B1B" w:rsidRDefault="00EE6B1B" w:rsidP="00EE6B1B">
      <w:pPr>
        <w:ind w:leftChars="330" w:left="1524" w:hangingChars="305" w:hanging="73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十三、不良事件：受試者參加試驗後所發生之任何不良情況。此項不良情況與試驗醫療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器材間不以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具有因果關係為必要。</w:t>
      </w:r>
    </w:p>
    <w:p w:rsidR="00EE6B1B" w:rsidRDefault="00EE6B1B" w:rsidP="00EE6B1B">
      <w:pPr>
        <w:ind w:leftChars="195" w:left="468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  <w:vertAlign w:val="superscript"/>
        </w:rPr>
        <w:t>5</w:t>
      </w:r>
      <w:r>
        <w:rPr>
          <w:rFonts w:ascii="Times New Roman" w:eastAsia="標楷體" w:hAnsi="Times New Roman" w:hint="eastAsia"/>
          <w:kern w:val="0"/>
          <w:szCs w:val="24"/>
        </w:rPr>
        <w:t>「醫療器材優良臨床試驗基準」第</w:t>
      </w:r>
      <w:r>
        <w:rPr>
          <w:rFonts w:ascii="Times New Roman" w:eastAsia="標楷體" w:hAnsi="Times New Roman"/>
          <w:kern w:val="0"/>
          <w:szCs w:val="24"/>
        </w:rPr>
        <w:t>106</w:t>
      </w:r>
      <w:r>
        <w:rPr>
          <w:rFonts w:ascii="Times New Roman" w:eastAsia="標楷體" w:hAnsi="Times New Roman" w:hint="eastAsia"/>
          <w:kern w:val="0"/>
          <w:szCs w:val="24"/>
        </w:rPr>
        <w:t>條。</w:t>
      </w:r>
    </w:p>
    <w:p w:rsidR="00EE6B1B" w:rsidRDefault="00EE6B1B" w:rsidP="00EE6B1B">
      <w:pPr>
        <w:numPr>
          <w:ilvl w:val="0"/>
          <w:numId w:val="1"/>
        </w:numPr>
        <w:tabs>
          <w:tab w:val="left" w:pos="624"/>
        </w:tabs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行政院衛生福利部通報網頁：</w:t>
      </w:r>
    </w:p>
    <w:p w:rsidR="00EE6B1B" w:rsidRDefault="00EE6B1B" w:rsidP="00127052">
      <w:pPr>
        <w:numPr>
          <w:ilvl w:val="1"/>
          <w:numId w:val="2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藥品及醫療器材：</w:t>
      </w:r>
      <w:r>
        <w:rPr>
          <w:rFonts w:ascii="Times New Roman" w:eastAsia="標楷體" w:hAnsi="Times New Roman"/>
          <w:kern w:val="0"/>
          <w:szCs w:val="24"/>
        </w:rPr>
        <w:t>ADR</w:t>
      </w:r>
      <w:r>
        <w:rPr>
          <w:rFonts w:ascii="Times New Roman" w:eastAsia="標楷體" w:hAnsi="Times New Roman" w:hint="eastAsia"/>
          <w:kern w:val="0"/>
          <w:szCs w:val="24"/>
        </w:rPr>
        <w:t>全國藥物不良反應通報系統</w:t>
      </w:r>
      <w:r w:rsidR="00127052" w:rsidRPr="00127052">
        <w:rPr>
          <w:rFonts w:ascii="Times New Roman" w:eastAsia="標楷體" w:hAnsi="Times New Roman"/>
          <w:color w:val="0000FF"/>
          <w:kern w:val="0"/>
          <w:szCs w:val="24"/>
          <w:u w:val="single"/>
        </w:rPr>
        <w:t>http://qms.fda.gov.tw/tcbw</w:t>
      </w:r>
    </w:p>
    <w:p w:rsidR="00EE6B1B" w:rsidRDefault="00EE6B1B" w:rsidP="00EE6B1B">
      <w:pPr>
        <w:numPr>
          <w:ilvl w:val="1"/>
          <w:numId w:val="2"/>
        </w:numPr>
        <w:ind w:rightChars="-359" w:right="-86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新醫療技術：行政院衛生福利部</w:t>
      </w:r>
      <w:proofErr w:type="gramStart"/>
      <w:r>
        <w:rPr>
          <w:rFonts w:ascii="Times New Roman" w:eastAsia="標楷體" w:hAnsi="Times New Roman" w:hint="eastAsia"/>
          <w:kern w:val="0"/>
          <w:szCs w:val="24"/>
        </w:rPr>
        <w:t>醫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事處</w:t>
      </w:r>
      <w:hyperlink r:id="rId8" w:history="1">
        <w:r>
          <w:rPr>
            <w:rStyle w:val="a3"/>
            <w:rFonts w:ascii="Times New Roman" w:eastAsia="標楷體" w:hAnsi="Times New Roman"/>
            <w:kern w:val="0"/>
            <w:szCs w:val="24"/>
          </w:rPr>
          <w:t>http://www.doh.gov.tw/CHT2006/DM/DM2.aspx?now_fod_list_no=4356&amp;class_no=1&amp;level_no=3</w:t>
        </w:r>
      </w:hyperlink>
    </w:p>
    <w:p w:rsidR="00127052" w:rsidRDefault="00EE6B1B" w:rsidP="00EE6B1B">
      <w:pPr>
        <w:numPr>
          <w:ilvl w:val="1"/>
          <w:numId w:val="2"/>
        </w:numPr>
        <w:ind w:rightChars="-359" w:right="-862"/>
        <w:rPr>
          <w:rFonts w:ascii="Times New Roman" w:eastAsia="標楷體" w:hAnsi="Times New Roman" w:hint="eastAsia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中草藥：中草藥不良反應及中藥品不良品通報系統</w:t>
      </w:r>
    </w:p>
    <w:p w:rsidR="00127052" w:rsidRDefault="00127052" w:rsidP="00127052">
      <w:pPr>
        <w:ind w:left="840" w:rightChars="-359" w:right="-862"/>
        <w:rPr>
          <w:rStyle w:val="a3"/>
        </w:rPr>
      </w:pPr>
      <w:r w:rsidRPr="00127052">
        <w:rPr>
          <w:rStyle w:val="a3"/>
          <w:rFonts w:ascii="Times New Roman" w:eastAsia="標楷體" w:hAnsi="Times New Roman"/>
          <w:kern w:val="0"/>
          <w:szCs w:val="24"/>
        </w:rPr>
        <w:t>http://www.mohw.gov.tw/CHT/DOCMAP/DM1.aspx?f_list_no=554</w:t>
      </w:r>
      <w:hyperlink r:id="rId9" w:history="1"/>
    </w:p>
    <w:p w:rsidR="00127052" w:rsidRPr="00127052" w:rsidRDefault="00127052" w:rsidP="00127052"/>
    <w:p w:rsidR="00127052" w:rsidRPr="00127052" w:rsidRDefault="00127052" w:rsidP="00127052"/>
    <w:p w:rsidR="00127052" w:rsidRDefault="00127052" w:rsidP="00127052"/>
    <w:p w:rsidR="00F917FE" w:rsidRPr="00127052" w:rsidRDefault="00F917FE" w:rsidP="00127052"/>
    <w:sectPr w:rsidR="00F917FE" w:rsidRPr="00127052" w:rsidSect="00EE6B1B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1A" w:rsidRDefault="00FF241A" w:rsidP="00EE6B1B">
      <w:r>
        <w:separator/>
      </w:r>
    </w:p>
  </w:endnote>
  <w:endnote w:type="continuationSeparator" w:id="0">
    <w:p w:rsidR="00FF241A" w:rsidRDefault="00FF241A" w:rsidP="00EE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1A" w:rsidRDefault="00FF241A" w:rsidP="00EE6B1B">
      <w:r>
        <w:separator/>
      </w:r>
    </w:p>
  </w:footnote>
  <w:footnote w:type="continuationSeparator" w:id="0">
    <w:p w:rsidR="00FF241A" w:rsidRDefault="00FF241A" w:rsidP="00EE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B" w:rsidRPr="00EE6B1B" w:rsidRDefault="00EE6B1B" w:rsidP="00EE6B1B">
    <w:pPr>
      <w:jc w:val="right"/>
      <w:rPr>
        <w:rFonts w:ascii="Times New Roman" w:eastAsia="標楷體" w:hAnsi="Times New Roman"/>
        <w:szCs w:val="24"/>
      </w:rPr>
    </w:pPr>
    <w:r>
      <w:rPr>
        <w:rFonts w:ascii="Times New Roman" w:eastAsia="標楷體" w:hAnsi="Times New Roman"/>
        <w:bCs/>
      </w:rPr>
      <w:t>AF01-06.1/04.</w:t>
    </w:r>
    <w:r>
      <w:rPr>
        <w:rFonts w:ascii="Times New Roman" w:eastAsia="標楷體" w:hAnsi="Times New Roman" w:hint="eastAsia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E44"/>
    <w:multiLevelType w:val="hybridMultilevel"/>
    <w:tmpl w:val="2C7AD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1DAC2D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211484"/>
    <w:multiLevelType w:val="hybridMultilevel"/>
    <w:tmpl w:val="B6567276"/>
    <w:lvl w:ilvl="0" w:tplc="7E4A408A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2300248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1B"/>
    <w:rsid w:val="00127052"/>
    <w:rsid w:val="00ED443F"/>
    <w:rsid w:val="00EE6B1B"/>
    <w:rsid w:val="00F917FE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8F3CAD9-9C0A-42F6-9C89-84E912E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6B1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E6B1B"/>
    <w:rPr>
      <w:kern w:val="2"/>
    </w:rPr>
  </w:style>
  <w:style w:type="paragraph" w:styleId="a6">
    <w:name w:val="footer"/>
    <w:basedOn w:val="a"/>
    <w:link w:val="a7"/>
    <w:uiPriority w:val="99"/>
    <w:unhideWhenUsed/>
    <w:rsid w:val="00EE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E6B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E6B1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E6B1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gov.tw/CHT2006/DM/DM2.aspx?now_fod_list_no=4356&amp;class_no=1&amp;level_no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cmadr.cgmh.org.tw/adr_v01/index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7C26-DC5B-47FF-9465-BB90982F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Links>
    <vt:vector size="12" baseType="variant">
      <vt:variant>
        <vt:i4>5636146</vt:i4>
      </vt:variant>
      <vt:variant>
        <vt:i4>3</vt:i4>
      </vt:variant>
      <vt:variant>
        <vt:i4>0</vt:i4>
      </vt:variant>
      <vt:variant>
        <vt:i4>5</vt:i4>
      </vt:variant>
      <vt:variant>
        <vt:lpwstr>http://tcmadr.cgmh.org.tw/adr_v01/index.asp</vt:lpwstr>
      </vt:variant>
      <vt:variant>
        <vt:lpwstr/>
      </vt:variant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http://www.doh.gov.tw/CHT2006/DM/DM2.aspx?now_fod_list_no=4356&amp;class_no=1&amp;level_no=3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A23044</dc:creator>
  <cp:keywords/>
  <cp:lastModifiedBy>A24303</cp:lastModifiedBy>
  <cp:revision>2</cp:revision>
  <dcterms:created xsi:type="dcterms:W3CDTF">2019-07-18T12:41:00Z</dcterms:created>
  <dcterms:modified xsi:type="dcterms:W3CDTF">2019-07-18T12:41:00Z</dcterms:modified>
</cp:coreProperties>
</file>