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5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89"/>
      </w:tblGrid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檢驗項目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6D232F" w:rsidRDefault="006D232F" w:rsidP="00471DE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Carbohydrate-deficient transferrin (CDT)</w:t>
            </w:r>
            <w:r w:rsidRPr="006D232F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C205A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(</w:t>
            </w:r>
            <w:r w:rsidR="002C205A" w:rsidRPr="0085382B">
              <w:rPr>
                <w:rFonts w:eastAsia="標楷體"/>
                <w:color w:val="333333"/>
                <w:shd w:val="clear" w:color="auto" w:fill="FFFFFF"/>
              </w:rPr>
              <w:t>缺糖型式運鐵蛋白</w:t>
            </w:r>
            <w:r w:rsidR="002C205A">
              <w:rPr>
                <w:rFonts w:eastAsia="標楷體" w:hint="eastAsia"/>
                <w:color w:val="333333"/>
                <w:shd w:val="clear" w:color="auto" w:fill="FFFFFF"/>
              </w:rPr>
              <w:t>)</w:t>
            </w:r>
            <w:r w:rsidRPr="006D232F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(</w:t>
            </w:r>
            <w:r w:rsidRPr="006D232F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委外</w:t>
            </w:r>
            <w:r w:rsidRPr="006D232F">
              <w:rPr>
                <w:rFonts w:ascii="Times New Roman" w:eastAsia="標楷體" w:hAnsi="Times New Roman"/>
                <w:b/>
                <w:bCs/>
                <w:color w:val="333333"/>
                <w:sz w:val="20"/>
                <w:szCs w:val="20"/>
              </w:rPr>
              <w:t>)</w:t>
            </w:r>
          </w:p>
        </w:tc>
      </w:tr>
      <w:tr w:rsidR="00092E88" w:rsidRPr="00BB4141" w:rsidTr="00092E88">
        <w:trPr>
          <w:trHeight w:val="20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檢驗表單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471DE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特殊生化檢驗</w:t>
            </w:r>
            <w:r w:rsidR="00092E88"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單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委外代檢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) </w:t>
            </w:r>
            <w:r w:rsidRPr="00471DEA">
              <w:rPr>
                <w:rFonts w:ascii="Times New Roman" w:eastAsia="標楷體" w:hAnsi="Times New Roman"/>
                <w:sz w:val="20"/>
                <w:szCs w:val="20"/>
              </w:rPr>
              <w:t>CM-T243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471DEA" w:rsidRDefault="00092E88">
            <w:pPr>
              <w:spacing w:line="228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71DE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參考範圍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32F" w:rsidRPr="00EB4262" w:rsidRDefault="006D232F" w:rsidP="006D232F">
            <w:pPr>
              <w:spacing w:line="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%CDT</w:t>
            </w: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：</w:t>
            </w:r>
            <w:r w:rsidRPr="00EB4262">
              <w:rPr>
                <w:rFonts w:ascii="Times New Roman" w:hAnsi="Times New Roman"/>
                <w:color w:val="333333"/>
                <w:sz w:val="20"/>
                <w:szCs w:val="20"/>
              </w:rPr>
              <w:t>1.19-2.47%</w:t>
            </w:r>
          </w:p>
          <w:p w:rsidR="006D232F" w:rsidRPr="00EB4262" w:rsidRDefault="006D232F" w:rsidP="006D232F">
            <w:pPr>
              <w:spacing w:line="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CDT</w:t>
            </w: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：</w:t>
            </w:r>
            <w:r w:rsidRPr="00EB4262">
              <w:rPr>
                <w:rFonts w:ascii="Times New Roman" w:hAnsi="Times New Roman"/>
                <w:color w:val="333333"/>
                <w:sz w:val="20"/>
                <w:szCs w:val="20"/>
              </w:rPr>
              <w:t>28.1-76.0</w:t>
            </w: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 xml:space="preserve"> mg/L</w:t>
            </w:r>
          </w:p>
          <w:p w:rsidR="00092E88" w:rsidRPr="006D232F" w:rsidRDefault="006D232F" w:rsidP="006D232F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Transferrin</w:t>
            </w: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>：</w:t>
            </w:r>
            <w:r w:rsidRPr="00EB4262">
              <w:rPr>
                <w:rFonts w:ascii="Times New Roman" w:hAnsi="Times New Roman"/>
                <w:color w:val="333333"/>
                <w:sz w:val="20"/>
                <w:szCs w:val="20"/>
              </w:rPr>
              <w:t>2000-3600</w:t>
            </w:r>
            <w:r w:rsidRPr="00EB4262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t xml:space="preserve"> mg/L</w:t>
            </w:r>
          </w:p>
        </w:tc>
      </w:tr>
      <w:tr w:rsidR="00092E88" w:rsidRPr="00BB4141" w:rsidTr="00092E88">
        <w:trPr>
          <w:trHeight w:val="17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採檢容器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圖片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)  </w:t>
            </w:r>
          </w:p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檢體量</w:t>
            </w:r>
          </w:p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檢體類別</w:t>
            </w:r>
          </w:p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4.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採檢須知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3D1DC7" w:rsidP="005B3FC1">
            <w:pPr>
              <w:ind w:firstLineChars="200" w:firstLine="4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object w:dxaOrig="2436" w:dyaOrig="25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8pt;height:89.4pt" o:ole="">
                  <v:imagedata r:id="rId7" o:title=""/>
                </v:shape>
                <o:OLEObject Type="Embed" ProgID="PBrush" ShapeID="_x0000_i1025" DrawAspect="Content" ObjectID="_1682405314" r:id="rId8"/>
              </w:objec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D86567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黃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頭管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  </w:t>
            </w:r>
            <w:hyperlink r:id="rId9" w:history="1">
              <w:r w:rsidR="00092E88" w:rsidRPr="00BB4141">
                <w:rPr>
                  <w:rStyle w:val="a3"/>
                  <w:rFonts w:ascii="Times New Roman" w:eastAsia="標楷體" w:hAnsi="Times New Roman"/>
                  <w:sz w:val="48"/>
                  <w:szCs w:val="48"/>
                </w:rPr>
                <w:t>*</w:t>
              </w:r>
              <w:r w:rsidR="00092E88" w:rsidRPr="00BB4141">
                <w:rPr>
                  <w:rStyle w:val="a3"/>
                  <w:rFonts w:ascii="Times New Roman" w:eastAsia="標楷體" w:hAnsi="Times New Roman"/>
                  <w:sz w:val="28"/>
                  <w:szCs w:val="28"/>
                </w:rPr>
                <w:t>採檢須知</w:t>
              </w:r>
            </w:hyperlink>
          </w:p>
          <w:p w:rsidR="00092E88" w:rsidRPr="005B3FC1" w:rsidRDefault="00D10E7E" w:rsidP="005B3FC1">
            <w:pPr>
              <w:widowControl/>
              <w:ind w:firstLineChars="200" w:firstLine="40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血液檢體</w:t>
            </w:r>
            <w:r w:rsidR="00D86567" w:rsidRPr="00BB41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3 ml</w:t>
            </w:r>
          </w:p>
        </w:tc>
      </w:tr>
      <w:tr w:rsidR="00092E88" w:rsidRPr="00BB4141" w:rsidTr="00092E88">
        <w:trPr>
          <w:trHeight w:val="38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採檢注意事項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病人準備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D8656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無</w:t>
            </w:r>
          </w:p>
        </w:tc>
      </w:tr>
      <w:tr w:rsidR="00092E88" w:rsidRPr="00BB4141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檢體傳送要求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BB4141" w:rsidRDefault="00D10E7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室溫傳送</w:t>
            </w:r>
          </w:p>
        </w:tc>
      </w:tr>
      <w:tr w:rsidR="00092E88" w:rsidRPr="00BB4141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檢體拒收準則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BB4141" w:rsidRDefault="00D16A51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67E7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嚴重溶血之檢體</w:t>
            </w:r>
          </w:p>
        </w:tc>
      </w:tr>
      <w:tr w:rsidR="00092E88" w:rsidRPr="00BB4141" w:rsidTr="00092E88">
        <w:trPr>
          <w:trHeight w:val="280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檢驗方法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DC5A73" w:rsidRDefault="006D232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E03C2">
              <w:rPr>
                <w:rFonts w:ascii="Arial" w:hAnsi="Arial" w:cs="Arial"/>
                <w:color w:val="000000"/>
                <w:sz w:val="20"/>
                <w:szCs w:val="20"/>
              </w:rPr>
              <w:t>Nephelometry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siemens atellica</w:t>
            </w:r>
          </w:p>
        </w:tc>
      </w:tr>
      <w:tr w:rsidR="00092E88" w:rsidRPr="00BB4141" w:rsidTr="00092E88">
        <w:trPr>
          <w:trHeight w:val="32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可送檢時間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 w:rsidP="00DC5A73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門檢組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星期一～星期五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PM 22:00 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星期六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AM 07:00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PM 16:00</w:t>
            </w:r>
            <w:r w:rsidR="00DC5A73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急檢組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:24</w:t>
            </w:r>
            <w:r w:rsidRPr="00BB414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小時收件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報告完成時間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6D23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16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個工作天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加補驗原則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條件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E88" w:rsidRPr="00BB4141" w:rsidRDefault="00F83B9C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不接受加補驗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檢驗組別及聯絡方式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9946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血清免疫組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電話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:04-22052121</w:t>
            </w:r>
            <w:r w:rsidR="00092E88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分機：</w:t>
            </w:r>
            <w:r w:rsidR="00D86567"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1202-305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sz w:val="20"/>
                <w:szCs w:val="20"/>
              </w:rPr>
              <w:t>檢驗效能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795061" w:rsidRDefault="00092E88" w:rsidP="0079506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92E88" w:rsidRPr="00BB4141" w:rsidTr="00531944">
        <w:trPr>
          <w:trHeight w:val="2522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F83B9C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83B9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檢驗結果的解讀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2E88" w:rsidRPr="006D232F" w:rsidRDefault="006D232F" w:rsidP="007821D1">
            <w:pPr>
              <w:rPr>
                <w:rFonts w:ascii="Times New Roman" w:eastAsia="標楷體" w:hAnsi="Times New Roman"/>
                <w:color w:val="333333"/>
                <w:sz w:val="20"/>
                <w:szCs w:val="20"/>
              </w:rPr>
            </w:pP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每日飲酒量約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50-60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公克乙醇，持續兩週時間便會使糖缺失轉鐵蛋白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(CDT)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濃度升高。戒酒約二到四週後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CDT%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的數值會恢復正常。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br/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 xml:space="preserve">2. 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以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CDT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與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Transferrin (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轉鐵蛋白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濃度相除所得的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 xml:space="preserve">CDT% , 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能大幅降低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transferrin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濃度、鐵質營養狀態與肝功能不良對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CDT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測定結果的影響。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</w:rPr>
              <w:br/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 xml:space="preserve">3. 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有些非因酒精引起的疾病也可能刺激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CDT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增加，包括慢性活動性肝炎、原發性膽道硬化症、肝衰竭，以及極為罕見的缺糖型式糖蛋白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(CDG, carbohydrate-deficient glycoprotein)</w:t>
            </w:r>
            <w:r w:rsidRPr="006D232F">
              <w:rPr>
                <w:rFonts w:ascii="Times New Roman" w:eastAsia="標楷體" w:hAnsi="Times New Roman"/>
                <w:color w:val="333333"/>
                <w:sz w:val="20"/>
                <w:szCs w:val="20"/>
                <w:shd w:val="clear" w:color="auto" w:fill="FFFFFF"/>
              </w:rPr>
              <w:t>症候群。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健保代碼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F83B9C" w:rsidRDefault="00F83B9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83B9C"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幾付點數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F83B9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</w:p>
        </w:tc>
      </w:tr>
      <w:tr w:rsidR="00092E88" w:rsidRPr="00BB4141" w:rsidTr="00092E88">
        <w:trPr>
          <w:trHeight w:val="204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自費收費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6D232F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900</w:t>
            </w:r>
            <w:r w:rsidR="001F10A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元</w:t>
            </w:r>
          </w:p>
        </w:tc>
      </w:tr>
      <w:tr w:rsidR="00092E88" w:rsidRPr="00BB4141" w:rsidTr="00092E88">
        <w:trPr>
          <w:trHeight w:val="216"/>
          <w:tblCellSpacing w:w="15" w:type="dxa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BB4141" w:rsidRDefault="00092E88">
            <w:pPr>
              <w:rPr>
                <w:rFonts w:ascii="Times New Roman" w:eastAsia="標楷體" w:hAnsi="Times New Roman"/>
                <w:szCs w:val="24"/>
              </w:rPr>
            </w:pPr>
            <w:r w:rsidRPr="00BB414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7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2E88" w:rsidRPr="002179B2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是否接收代檢</w:t>
            </w:r>
            <w:r w:rsidR="00F83B9C" w:rsidRPr="002179B2"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是</w:t>
            </w:r>
            <w:r w:rsidR="00F83B9C" w:rsidRPr="002179B2">
              <w:rPr>
                <w:rFonts w:ascii="Times New Roman" w:eastAsia="標楷體" w:hAnsi="Times New Roman"/>
                <w:sz w:val="20"/>
                <w:szCs w:val="20"/>
              </w:rPr>
              <w:t>■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否</w:t>
            </w:r>
          </w:p>
          <w:p w:rsidR="00092E88" w:rsidRDefault="00092E8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2179B2">
              <w:rPr>
                <w:rFonts w:ascii="Times New Roman" w:eastAsia="標楷體" w:hAnsi="Times New Roman"/>
                <w:sz w:val="20"/>
                <w:szCs w:val="20"/>
              </w:rPr>
              <w:t>委外院所資訊</w:t>
            </w:r>
          </w:p>
          <w:p w:rsidR="006D232F" w:rsidRPr="002179B2" w:rsidRDefault="006D232F">
            <w:pPr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7D12E5" w:rsidRPr="00EF69DC" w:rsidRDefault="00DC5A73" w:rsidP="007D12E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8"/>
                <w:szCs w:val="28"/>
                <w:lang w:val="zh-TW"/>
              </w:rPr>
            </w:pPr>
            <w:r w:rsidRPr="00DC5A73">
              <w:rPr>
                <w:rFonts w:ascii="Times New Roman" w:eastAsia="標楷體" w:hAnsi="Times New Roman"/>
                <w:kern w:val="0"/>
                <w:sz w:val="20"/>
                <w:szCs w:val="20"/>
              </w:rPr>
              <w:t>委託實驗室：</w:t>
            </w:r>
            <w:r w:rsidR="007D12E5" w:rsidRPr="00EF69DC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台中榮民總醫院</w:t>
            </w:r>
          </w:p>
          <w:p w:rsidR="007D12E5" w:rsidRPr="00EF69DC" w:rsidRDefault="00DC5A73" w:rsidP="007D12E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</w:pPr>
            <w:r w:rsidRPr="00EF69DC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地址：</w:t>
            </w:r>
            <w:r w:rsidR="007D12E5" w:rsidRPr="00EF69DC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台中市台灣大道四段</w:t>
            </w:r>
            <w:r w:rsidR="007D12E5" w:rsidRPr="00EF69DC">
              <w:rPr>
                <w:rFonts w:ascii="標楷體" w:eastAsia="標楷體" w:hAnsiTheme="minorHAnsi" w:cs="標楷體"/>
                <w:kern w:val="0"/>
                <w:sz w:val="20"/>
                <w:szCs w:val="20"/>
                <w:lang w:val="zh-TW"/>
              </w:rPr>
              <w:t>1650</w:t>
            </w:r>
            <w:r w:rsidR="007D12E5" w:rsidRPr="00EF69DC">
              <w:rPr>
                <w:rFonts w:ascii="標楷體" w:eastAsia="標楷體" w:hAnsiTheme="minorHAnsi" w:cs="標楷體" w:hint="eastAsia"/>
                <w:kern w:val="0"/>
                <w:sz w:val="20"/>
                <w:szCs w:val="20"/>
                <w:lang w:val="zh-TW"/>
              </w:rPr>
              <w:t>號</w:t>
            </w:r>
          </w:p>
          <w:p w:rsidR="00DC5A73" w:rsidRPr="00DC5A73" w:rsidRDefault="007D12E5" w:rsidP="00DC5A7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DC5A73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DC5A73" w:rsidRPr="00BB4141" w:rsidRDefault="00DC5A73" w:rsidP="00DC5A73">
            <w:pPr>
              <w:rPr>
                <w:rFonts w:ascii="Times New Roman" w:eastAsia="標楷體" w:hAnsi="Times New Roman"/>
                <w:szCs w:val="24"/>
              </w:rPr>
            </w:pPr>
            <w:r w:rsidRPr="00DC5A73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不接受轉檢</w:t>
            </w:r>
          </w:p>
        </w:tc>
      </w:tr>
    </w:tbl>
    <w:p w:rsidR="00144119" w:rsidRPr="00BB4141" w:rsidRDefault="00144119">
      <w:pPr>
        <w:rPr>
          <w:rFonts w:ascii="Times New Roman" w:eastAsia="標楷體" w:hAnsi="Times New Roman"/>
        </w:rPr>
      </w:pPr>
    </w:p>
    <w:sectPr w:rsidR="00144119" w:rsidRPr="00BB41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36" w:rsidRDefault="00ED4736" w:rsidP="00D16A51">
      <w:r>
        <w:separator/>
      </w:r>
    </w:p>
  </w:endnote>
  <w:endnote w:type="continuationSeparator" w:id="0">
    <w:p w:rsidR="00ED4736" w:rsidRDefault="00ED4736" w:rsidP="00D1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36" w:rsidRDefault="00ED4736" w:rsidP="00D16A51">
      <w:r>
        <w:separator/>
      </w:r>
    </w:p>
  </w:footnote>
  <w:footnote w:type="continuationSeparator" w:id="0">
    <w:p w:rsidR="00ED4736" w:rsidRDefault="00ED4736" w:rsidP="00D1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054"/>
    <w:multiLevelType w:val="multilevel"/>
    <w:tmpl w:val="2FC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8"/>
    <w:rsid w:val="00010029"/>
    <w:rsid w:val="0003090C"/>
    <w:rsid w:val="00092E88"/>
    <w:rsid w:val="000D6C41"/>
    <w:rsid w:val="00144119"/>
    <w:rsid w:val="00170FF2"/>
    <w:rsid w:val="001F10AE"/>
    <w:rsid w:val="002179B2"/>
    <w:rsid w:val="00256BD8"/>
    <w:rsid w:val="002C205A"/>
    <w:rsid w:val="003D1DC7"/>
    <w:rsid w:val="00471DEA"/>
    <w:rsid w:val="00531944"/>
    <w:rsid w:val="005420D1"/>
    <w:rsid w:val="005775B5"/>
    <w:rsid w:val="00593B22"/>
    <w:rsid w:val="005B3FC1"/>
    <w:rsid w:val="006D232F"/>
    <w:rsid w:val="007821D1"/>
    <w:rsid w:val="00795061"/>
    <w:rsid w:val="007D12E5"/>
    <w:rsid w:val="00812DFB"/>
    <w:rsid w:val="00982BEC"/>
    <w:rsid w:val="009946CD"/>
    <w:rsid w:val="009D4278"/>
    <w:rsid w:val="009F28B9"/>
    <w:rsid w:val="00BB4141"/>
    <w:rsid w:val="00BC1AC4"/>
    <w:rsid w:val="00C1695D"/>
    <w:rsid w:val="00CB300D"/>
    <w:rsid w:val="00D10E7E"/>
    <w:rsid w:val="00D16A51"/>
    <w:rsid w:val="00D86567"/>
    <w:rsid w:val="00DC5A73"/>
    <w:rsid w:val="00EB4262"/>
    <w:rsid w:val="00ED4736"/>
    <w:rsid w:val="00EF69DC"/>
    <w:rsid w:val="00F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60A0"/>
  <w15:docId w15:val="{EBC273CF-B8CE-49BD-AC7E-D90EDDA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2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E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3FC1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A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A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cmuh.cmu.edu.tw/HTML/dept/1t24/andow3.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7</cp:revision>
  <dcterms:created xsi:type="dcterms:W3CDTF">2021-05-12T07:35:00Z</dcterms:created>
  <dcterms:modified xsi:type="dcterms:W3CDTF">2021-05-13T02:02:00Z</dcterms:modified>
</cp:coreProperties>
</file>