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CellSpacing w:w="15" w:type="dxa"/>
        <w:tblBorders>
          <w:top w:val="inset" w:sz="6" w:space="0" w:color="auto"/>
          <w:left w:val="inset" w:sz="6" w:space="0" w:color="auto"/>
          <w:bottom w:val="inset" w:sz="6" w:space="0" w:color="auto"/>
          <w:right w:val="inset" w:sz="6" w:space="0" w:color="auto"/>
        </w:tblBorders>
        <w:tblCellMar>
          <w:left w:w="0" w:type="dxa"/>
          <w:right w:w="0" w:type="dxa"/>
        </w:tblCellMar>
        <w:tblLook w:val="04A0" w:firstRow="1" w:lastRow="0" w:firstColumn="1" w:lastColumn="0" w:noHBand="0" w:noVBand="1"/>
      </w:tblPr>
      <w:tblGrid>
        <w:gridCol w:w="2054"/>
        <w:gridCol w:w="4047"/>
        <w:gridCol w:w="3664"/>
      </w:tblGrid>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檢驗表單</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血液檢驗單-Blood(CM-T210), 急診血液檢驗單(CM-T220)</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新細明體" w:eastAsia="新細明體" w:hAnsi="新細明體" w:cs="Times New Roman"/>
                <w:kern w:val="0"/>
                <w:szCs w:val="24"/>
              </w:rPr>
            </w:pPr>
            <w:r w:rsidRPr="00B40452">
              <w:rPr>
                <w:rFonts w:ascii="新細明體" w:eastAsia="新細明體" w:hAnsi="新細明體" w:cs="Times New Roman" w:hint="eastAsia"/>
                <w:kern w:val="0"/>
                <w:sz w:val="20"/>
                <w:szCs w:val="20"/>
              </w:rPr>
              <w:t>檢驗項目</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r>
              <w:rPr>
                <w:rFonts w:ascii="新細明體" w:eastAsia="新細明體" w:hAnsi="新細明體" w:cs="Times New Roman" w:hint="eastAsia"/>
                <w:kern w:val="0"/>
                <w:sz w:val="20"/>
                <w:szCs w:val="20"/>
              </w:rPr>
              <w:t>MDW</w:t>
            </w:r>
            <w:r w:rsidRPr="00B40452">
              <w:rPr>
                <w:rFonts w:ascii="新細明體" w:eastAsia="新細明體" w:hAnsi="新細明體" w:cs="Times New Roman"/>
                <w:kern w:val="0"/>
                <w:sz w:val="20"/>
                <w:szCs w:val="20"/>
              </w:rPr>
              <w:t xml:space="preserve"> (</w:t>
            </w:r>
            <w:r w:rsidRPr="00B40452">
              <w:rPr>
                <w:rFonts w:hint="eastAsia"/>
                <w:sz w:val="20"/>
                <w:szCs w:val="20"/>
              </w:rPr>
              <w:t>單核球分佈寬度</w:t>
            </w:r>
            <w:r w:rsidRPr="00B40452">
              <w:rPr>
                <w:rFonts w:ascii="新細明體" w:eastAsia="新細明體" w:hAnsi="新細明體" w:cs="Times New Roman"/>
                <w:kern w:val="0"/>
                <w:sz w:val="20"/>
                <w:szCs w:val="20"/>
              </w:rPr>
              <w:t>)</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參考範圍</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&lt;20%</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採檢容器及檢體量</w:t>
            </w:r>
          </w:p>
        </w:tc>
        <w:tc>
          <w:tcPr>
            <w:tcW w:w="3930"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jc w:val="center"/>
              <w:rPr>
                <w:rFonts w:ascii="Times New Roman" w:eastAsia="新細明體" w:hAnsi="Times New Roman" w:cs="Times New Roman"/>
                <w:kern w:val="0"/>
                <w:szCs w:val="24"/>
              </w:rPr>
            </w:pPr>
            <w:r w:rsidRPr="00B40452">
              <w:rPr>
                <w:rFonts w:ascii="新細明體" w:eastAsia="新細明體" w:hAnsi="新細明體" w:cs="Times New Roman"/>
                <w:noProof/>
                <w:kern w:val="0"/>
                <w:sz w:val="20"/>
                <w:szCs w:val="20"/>
              </w:rPr>
              <w:drawing>
                <wp:inline distT="0" distB="0" distL="0" distR="0" wp14:anchorId="0A33B659" wp14:editId="05793A2B">
                  <wp:extent cx="1541780" cy="949325"/>
                  <wp:effectExtent l="0" t="0" r="1270" b="3175"/>
                  <wp:docPr id="3" name="圖片 3" descr="http://61.66.117.10/HTML/dept/1t24/intranet/opd/97.DC(Diff.%20Cou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1.66.117.10/HTML/dept/1t24/intranet/opd/97.DC(Diff.%20Cou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1780" cy="949325"/>
                          </a:xfrm>
                          <a:prstGeom prst="rect">
                            <a:avLst/>
                          </a:prstGeom>
                          <a:noFill/>
                          <a:ln>
                            <a:noFill/>
                          </a:ln>
                        </pic:spPr>
                      </pic:pic>
                    </a:graphicData>
                  </a:graphic>
                </wp:inline>
              </w:drawing>
            </w:r>
            <w:hyperlink r:id="rId7" w:history="1">
              <w:r w:rsidRPr="00B40452">
                <w:rPr>
                  <w:rFonts w:ascii="Times New Roman" w:eastAsia="新細明體" w:hAnsi="Times New Roman" w:cs="Times New Roman"/>
                  <w:color w:val="0000FF"/>
                  <w:kern w:val="0"/>
                  <w:sz w:val="48"/>
                  <w:szCs w:val="48"/>
                  <w:u w:val="single"/>
                </w:rPr>
                <w:t>*</w:t>
              </w:r>
              <w:r w:rsidRPr="00B40452">
                <w:rPr>
                  <w:rFonts w:ascii="標楷體" w:eastAsia="標楷體" w:hAnsi="標楷體" w:cs="Times New Roman" w:hint="eastAsia"/>
                  <w:color w:val="0000FF"/>
                  <w:kern w:val="0"/>
                  <w:sz w:val="28"/>
                  <w:szCs w:val="28"/>
                  <w:u w:val="single"/>
                </w:rPr>
                <w:t>採檢須知</w:t>
              </w:r>
            </w:hyperlink>
          </w:p>
          <w:p w:rsidR="00B40452" w:rsidRPr="00B40452" w:rsidRDefault="00B40452" w:rsidP="00B40452">
            <w:pPr>
              <w:widowControl/>
              <w:jc w:val="center"/>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EDTA紫頭管 最少1 mL.最多3mL</w:t>
            </w:r>
          </w:p>
        </w:tc>
        <w:tc>
          <w:tcPr>
            <w:tcW w:w="3450"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jc w:val="center"/>
              <w:rPr>
                <w:rFonts w:ascii="新細明體" w:eastAsia="新細明體" w:hAnsi="新細明體" w:cs="Times New Roman"/>
                <w:kern w:val="0"/>
                <w:szCs w:val="24"/>
              </w:rPr>
            </w:pPr>
            <w:r w:rsidRPr="00B40452">
              <w:rPr>
                <w:rFonts w:ascii="新細明體" w:eastAsia="新細明體" w:hAnsi="新細明體" w:cs="Times New Roman"/>
                <w:noProof/>
                <w:kern w:val="0"/>
                <w:sz w:val="20"/>
                <w:szCs w:val="20"/>
              </w:rPr>
              <w:drawing>
                <wp:inline distT="0" distB="0" distL="0" distR="0" wp14:anchorId="7CE736B7" wp14:editId="2EC6F1E7">
                  <wp:extent cx="1295400" cy="621030"/>
                  <wp:effectExtent l="0" t="0" r="0" b="7620"/>
                  <wp:docPr id="4" name="圖片 4" descr="36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59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621030"/>
                          </a:xfrm>
                          <a:prstGeom prst="rect">
                            <a:avLst/>
                          </a:prstGeom>
                          <a:noFill/>
                          <a:ln>
                            <a:noFill/>
                          </a:ln>
                        </pic:spPr>
                      </pic:pic>
                    </a:graphicData>
                  </a:graphic>
                </wp:inline>
              </w:drawing>
            </w:r>
          </w:p>
          <w:p w:rsidR="00B40452" w:rsidRPr="00B40452" w:rsidRDefault="00B40452" w:rsidP="00B40452">
            <w:pPr>
              <w:widowControl/>
              <w:jc w:val="center"/>
              <w:rPr>
                <w:rFonts w:ascii="新細明體" w:eastAsia="新細明體" w:hAnsi="新細明體" w:cs="Times New Roman"/>
                <w:kern w:val="0"/>
                <w:szCs w:val="24"/>
              </w:rPr>
            </w:pPr>
            <w:r w:rsidRPr="00B40452">
              <w:rPr>
                <w:rFonts w:ascii="新細明體" w:eastAsia="新細明體" w:hAnsi="新細明體" w:cs="Times New Roman" w:hint="eastAsia"/>
                <w:kern w:val="0"/>
                <w:sz w:val="20"/>
                <w:szCs w:val="20"/>
              </w:rPr>
              <w:t>最低採檢量：0.5 mL</w:t>
            </w:r>
          </w:p>
          <w:p w:rsidR="00B40452" w:rsidRPr="00B40452" w:rsidRDefault="00B40452" w:rsidP="00B40452">
            <w:pPr>
              <w:widowControl/>
              <w:jc w:val="center"/>
              <w:rPr>
                <w:rFonts w:ascii="新細明體" w:eastAsia="新細明體" w:hAnsi="新細明體" w:cs="Times New Roman"/>
                <w:kern w:val="0"/>
                <w:szCs w:val="24"/>
              </w:rPr>
            </w:pPr>
            <w:r w:rsidRPr="00B40452">
              <w:rPr>
                <w:rFonts w:ascii="新細明體" w:eastAsia="新細明體" w:hAnsi="新細明體" w:cs="Times New Roman" w:hint="eastAsia"/>
                <w:kern w:val="0"/>
                <w:sz w:val="20"/>
                <w:szCs w:val="20"/>
              </w:rPr>
              <w:t>微量EDTA紫頭CBC管</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採檢注意事項</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1.採血後須立即將試管內添加劑與血液混合均勻,儘速送檢。</w:t>
            </w:r>
          </w:p>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2.檢體請勿使用冷藏隔夜以免影響白血球型態。</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檢驗方法</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自動血液分析儀Automated cell count；自動數位血球分類儀</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可送檢時間</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門診檢驗組:星期一～星期五AM 07:00～PM22:00 星期六 AM 07:00～PM 16:00</w:t>
            </w:r>
          </w:p>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急診檢驗組:24小時收件</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報告完成時間</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急件/門診：40分鐘；普單急作：2小時</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檢驗組別及聯絡方式</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門診檢驗組血液室:(04)22052121分機1202-309</w:t>
            </w:r>
          </w:p>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急診檢驗組:(04)22052121分機5445</w:t>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檢驗效能</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165C6C" w:rsidP="00B40452">
            <w:pPr>
              <w:widowControl/>
              <w:rPr>
                <w:rFonts w:ascii="Times New Roman" w:eastAsia="新細明體" w:hAnsi="Times New Roman" w:cs="Times New Roman"/>
                <w:kern w:val="0"/>
                <w:szCs w:val="24"/>
              </w:rPr>
            </w:pPr>
            <w:hyperlink r:id="rId9" w:history="1">
              <w:r w:rsidR="00B40452" w:rsidRPr="00B40452">
                <w:rPr>
                  <w:rFonts w:ascii="新細明體" w:eastAsia="新細明體" w:hAnsi="新細明體" w:cs="Times New Roman" w:hint="eastAsia"/>
                  <w:color w:val="0000FF"/>
                  <w:kern w:val="0"/>
                  <w:sz w:val="20"/>
                  <w:szCs w:val="20"/>
                  <w:u w:val="single"/>
                </w:rPr>
                <w:t>請參閱量測不確定度</w:t>
              </w:r>
            </w:hyperlink>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檢驗結果的解讀</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883192" w:rsidRDefault="00883192" w:rsidP="00883192">
            <w:r>
              <w:rPr>
                <w:rFonts w:hint="eastAsia"/>
              </w:rPr>
              <w:t>1.</w:t>
            </w:r>
            <w:r>
              <w:rPr>
                <w:rFonts w:hint="eastAsia"/>
              </w:rPr>
              <w:tab/>
              <w:t>MDW&lt;=20</w:t>
            </w:r>
            <w:r>
              <w:rPr>
                <w:rFonts w:hint="eastAsia"/>
              </w:rPr>
              <w:t>：敗血症低風險但無法完全排除</w:t>
            </w:r>
          </w:p>
          <w:p w:rsidR="00883192" w:rsidRDefault="00883192" w:rsidP="00883192">
            <w:r>
              <w:rPr>
                <w:rFonts w:hint="eastAsia"/>
              </w:rPr>
              <w:t>2.</w:t>
            </w:r>
            <w:r>
              <w:rPr>
                <w:rFonts w:hint="eastAsia"/>
              </w:rPr>
              <w:tab/>
              <w:t>MDW&gt;20</w:t>
            </w:r>
            <w:r>
              <w:rPr>
                <w:rFonts w:hint="eastAsia"/>
              </w:rPr>
              <w:t>：可能有較高的風險為敗血症</w:t>
            </w:r>
          </w:p>
          <w:p w:rsidR="00883192" w:rsidRDefault="00883192" w:rsidP="00883192">
            <w:r>
              <w:rPr>
                <w:rFonts w:hint="eastAsia"/>
              </w:rPr>
              <w:t>3.</w:t>
            </w:r>
            <w:r>
              <w:rPr>
                <w:rFonts w:hint="eastAsia"/>
              </w:rPr>
              <w:tab/>
            </w:r>
            <w:r>
              <w:rPr>
                <w:rFonts w:hint="eastAsia"/>
              </w:rPr>
              <w:t>建議加入</w:t>
            </w:r>
            <w:r>
              <w:rPr>
                <w:rFonts w:hint="eastAsia"/>
              </w:rPr>
              <w:t>WBC</w:t>
            </w:r>
            <w:r>
              <w:rPr>
                <w:rFonts w:hint="eastAsia"/>
              </w:rPr>
              <w:t>一起評估可以增加敗血症評估的準確性</w:t>
            </w:r>
          </w:p>
          <w:p w:rsidR="00B40452" w:rsidRPr="00B40452" w:rsidRDefault="00165C6C" w:rsidP="00B40452">
            <w:pPr>
              <w:widowControl/>
              <w:rPr>
                <w:rFonts w:ascii="Times New Roman" w:eastAsia="新細明體" w:hAnsi="Times New Roman" w:cs="Times New Roman"/>
                <w:kern w:val="0"/>
                <w:szCs w:val="24"/>
              </w:rPr>
            </w:pPr>
            <w:bookmarkStart w:id="0" w:name="_GoBack"/>
            <w:bookmarkEnd w:id="0"/>
            <w:r w:rsidRPr="00165C6C">
              <w:rPr>
                <w:rFonts w:ascii="Times New Roman" w:eastAsia="新細明體" w:hAnsi="Times New Roman" w:cs="Times New Roman"/>
                <w:kern w:val="0"/>
                <w:szCs w:val="24"/>
              </w:rPr>
              <w:drawing>
                <wp:anchor distT="0" distB="0" distL="114300" distR="114300" simplePos="0" relativeHeight="251659264" behindDoc="0" locked="0" layoutInCell="1" allowOverlap="1" wp14:anchorId="3CA33F62" wp14:editId="5DC378BA">
                  <wp:simplePos x="0" y="0"/>
                  <wp:positionH relativeFrom="column">
                    <wp:posOffset>1953553</wp:posOffset>
                  </wp:positionH>
                  <wp:positionV relativeFrom="paragraph">
                    <wp:posOffset>870340</wp:posOffset>
                  </wp:positionV>
                  <wp:extent cx="2760345" cy="1423035"/>
                  <wp:effectExtent l="0" t="0" r="1905" b="5715"/>
                  <wp:wrapThrough wrapText="bothSides">
                    <wp:wrapPolygon edited="0">
                      <wp:start x="0" y="0"/>
                      <wp:lineTo x="0" y="21398"/>
                      <wp:lineTo x="21466" y="21398"/>
                      <wp:lineTo x="2146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0345"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C6C">
              <w:rPr>
                <w:rFonts w:ascii="Times New Roman" w:eastAsia="新細明體" w:hAnsi="Times New Roman" w:cs="Times New Roman"/>
                <w:kern w:val="0"/>
                <w:szCs w:val="24"/>
              </w:rPr>
              <w:drawing>
                <wp:anchor distT="0" distB="0" distL="114300" distR="114300" simplePos="0" relativeHeight="251660288" behindDoc="0" locked="0" layoutInCell="1" allowOverlap="1" wp14:anchorId="7DBEF4A9" wp14:editId="21BD0310">
                  <wp:simplePos x="0" y="0"/>
                  <wp:positionH relativeFrom="column">
                    <wp:posOffset>-15875</wp:posOffset>
                  </wp:positionH>
                  <wp:positionV relativeFrom="paragraph">
                    <wp:posOffset>143510</wp:posOffset>
                  </wp:positionV>
                  <wp:extent cx="1924685" cy="2215515"/>
                  <wp:effectExtent l="0" t="0" r="0" b="0"/>
                  <wp:wrapThrough wrapText="bothSides">
                    <wp:wrapPolygon edited="0">
                      <wp:start x="0" y="0"/>
                      <wp:lineTo x="0" y="21359"/>
                      <wp:lineTo x="21379" y="21359"/>
                      <wp:lineTo x="21379"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685" cy="2215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健保代碼</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幾付點數</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自費收費</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rPr>
                <w:rFonts w:ascii="Times New Roman" w:eastAsia="新細明體" w:hAnsi="Times New Roman" w:cs="Times New Roman"/>
                <w:kern w:val="0"/>
                <w:szCs w:val="24"/>
              </w:rPr>
            </w:pPr>
          </w:p>
        </w:tc>
      </w:tr>
      <w:tr w:rsidR="00B40452" w:rsidRPr="00B40452" w:rsidTr="00B40452">
        <w:trPr>
          <w:tblCellSpacing w:w="15" w:type="dxa"/>
        </w:trPr>
        <w:tc>
          <w:tcPr>
            <w:tcW w:w="1965" w:type="dxa"/>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vAlign w:val="center"/>
            <w:hideMark/>
          </w:tcPr>
          <w:p w:rsidR="00B40452" w:rsidRPr="00B40452" w:rsidRDefault="00B40452" w:rsidP="00B40452">
            <w:pPr>
              <w:widowControl/>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lastRenderedPageBreak/>
              <w:t>注意事項</w:t>
            </w:r>
          </w:p>
        </w:tc>
        <w:tc>
          <w:tcPr>
            <w:tcW w:w="7500" w:type="dxa"/>
            <w:gridSpan w:val="2"/>
            <w:tcBorders>
              <w:top w:val="inset" w:sz="6" w:space="0" w:color="auto"/>
              <w:left w:val="inset" w:sz="6" w:space="0" w:color="auto"/>
              <w:bottom w:val="inset" w:sz="6" w:space="0" w:color="auto"/>
              <w:right w:val="inset" w:sz="6" w:space="0" w:color="auto"/>
            </w:tcBorders>
            <w:tcMar>
              <w:top w:w="0" w:type="dxa"/>
              <w:left w:w="28" w:type="dxa"/>
              <w:bottom w:w="0" w:type="dxa"/>
              <w:right w:w="28" w:type="dxa"/>
            </w:tcMar>
            <w:hideMark/>
          </w:tcPr>
          <w:p w:rsidR="00B40452" w:rsidRPr="00B40452" w:rsidRDefault="00B40452" w:rsidP="00B40452">
            <w:pPr>
              <w:widowControl/>
              <w:jc w:val="both"/>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1.勿使用含oxalate或heparin抗凝劑之血液製作抹片。Oxalate易使白血球變質，heparin使染色背景加深。</w:t>
            </w:r>
          </w:p>
          <w:p w:rsidR="00B40452" w:rsidRPr="00B40452" w:rsidRDefault="00B40452" w:rsidP="00B40452">
            <w:pPr>
              <w:widowControl/>
              <w:jc w:val="both"/>
              <w:rPr>
                <w:rFonts w:ascii="Times New Roman" w:eastAsia="新細明體" w:hAnsi="Times New Roman" w:cs="Times New Roman"/>
                <w:kern w:val="0"/>
                <w:szCs w:val="24"/>
              </w:rPr>
            </w:pPr>
            <w:r w:rsidRPr="00B40452">
              <w:rPr>
                <w:rFonts w:ascii="新細明體" w:eastAsia="新細明體" w:hAnsi="新細明體" w:cs="Times New Roman"/>
                <w:kern w:val="0"/>
                <w:sz w:val="20"/>
                <w:szCs w:val="20"/>
              </w:rPr>
              <w:t>2.請勿使用冷藏過之檢體，因為冷藏過之檢體不僅紅血球會皺縮而且白血球細胞膜會招到破壞使得血球型態不易判讀，易造成非典型淋巴球增多。</w:t>
            </w:r>
          </w:p>
          <w:p w:rsidR="00B40452" w:rsidRPr="00B40452" w:rsidRDefault="00B40452" w:rsidP="00B40452">
            <w:pPr>
              <w:widowControl/>
              <w:rPr>
                <w:rFonts w:ascii="新細明體" w:eastAsia="新細明體" w:hAnsi="新細明體" w:cs="Times New Roman"/>
                <w:kern w:val="0"/>
                <w:szCs w:val="24"/>
              </w:rPr>
            </w:pPr>
            <w:r w:rsidRPr="00B40452">
              <w:rPr>
                <w:rFonts w:ascii="新細明體" w:eastAsia="新細明體" w:hAnsi="新細明體" w:cs="Times New Roman" w:hint="eastAsia"/>
                <w:kern w:val="0"/>
                <w:sz w:val="20"/>
                <w:szCs w:val="20"/>
              </w:rPr>
              <w:t>3.過時的檢體會引起granulocytes和monocyte變質或減少，尤其是EDTA置放過久會使細胞核或細胞質發生空泡。先是monocyte，然後是neutrophil，而lymphocyte細胞核則分葉。EDTA置放過久也有可能會造成neutrophil或eosinophil聚集。</w:t>
            </w:r>
          </w:p>
        </w:tc>
      </w:tr>
    </w:tbl>
    <w:p w:rsidR="00A676D7" w:rsidRPr="00B40452" w:rsidRDefault="00A676D7"/>
    <w:sectPr w:rsidR="00A676D7" w:rsidRPr="00B404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6C" w:rsidRDefault="00165C6C" w:rsidP="00165C6C">
      <w:r>
        <w:separator/>
      </w:r>
    </w:p>
  </w:endnote>
  <w:endnote w:type="continuationSeparator" w:id="0">
    <w:p w:rsidR="00165C6C" w:rsidRDefault="00165C6C" w:rsidP="0016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6C" w:rsidRDefault="00165C6C" w:rsidP="00165C6C">
      <w:r>
        <w:separator/>
      </w:r>
    </w:p>
  </w:footnote>
  <w:footnote w:type="continuationSeparator" w:id="0">
    <w:p w:rsidR="00165C6C" w:rsidRDefault="00165C6C" w:rsidP="00165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52"/>
    <w:rsid w:val="00165C6C"/>
    <w:rsid w:val="00782D19"/>
    <w:rsid w:val="00883192"/>
    <w:rsid w:val="00A676D7"/>
    <w:rsid w:val="00B40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BA4A4B-3D2D-4F0B-9036-DD578774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C6C"/>
    <w:pPr>
      <w:tabs>
        <w:tab w:val="center" w:pos="4153"/>
        <w:tab w:val="right" w:pos="8306"/>
      </w:tabs>
      <w:snapToGrid w:val="0"/>
    </w:pPr>
    <w:rPr>
      <w:sz w:val="20"/>
      <w:szCs w:val="20"/>
    </w:rPr>
  </w:style>
  <w:style w:type="character" w:customStyle="1" w:styleId="a4">
    <w:name w:val="頁首 字元"/>
    <w:basedOn w:val="a0"/>
    <w:link w:val="a3"/>
    <w:uiPriority w:val="99"/>
    <w:rsid w:val="00165C6C"/>
    <w:rPr>
      <w:sz w:val="20"/>
      <w:szCs w:val="20"/>
    </w:rPr>
  </w:style>
  <w:style w:type="paragraph" w:styleId="a5">
    <w:name w:val="footer"/>
    <w:basedOn w:val="a"/>
    <w:link w:val="a6"/>
    <w:uiPriority w:val="99"/>
    <w:unhideWhenUsed/>
    <w:rsid w:val="00165C6C"/>
    <w:pPr>
      <w:tabs>
        <w:tab w:val="center" w:pos="4153"/>
        <w:tab w:val="right" w:pos="8306"/>
      </w:tabs>
      <w:snapToGrid w:val="0"/>
    </w:pPr>
    <w:rPr>
      <w:sz w:val="20"/>
      <w:szCs w:val="20"/>
    </w:rPr>
  </w:style>
  <w:style w:type="character" w:customStyle="1" w:styleId="a6">
    <w:name w:val="頁尾 字元"/>
    <w:basedOn w:val="a0"/>
    <w:link w:val="a5"/>
    <w:uiPriority w:val="99"/>
    <w:rsid w:val="00165C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61.66.117.10/HTML/dept/1t24/andow3.5.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61.66.117.10/HTML/dept/1t24/intranet/precision.xl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cmuh</dc:creator>
  <cp:keywords/>
  <dc:description/>
  <cp:lastModifiedBy>cmuh</cp:lastModifiedBy>
  <cp:revision>2</cp:revision>
  <dcterms:created xsi:type="dcterms:W3CDTF">2020-10-13T02:37:00Z</dcterms:created>
  <dcterms:modified xsi:type="dcterms:W3CDTF">2020-10-13T03:21:00Z</dcterms:modified>
</cp:coreProperties>
</file>